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514724"/>
                            <a:ext cx="7556500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7178040">
                                <a:moveTo>
                                  <a:pt x="0" y="7177658"/>
                                </a:moveTo>
                                <a:lnTo>
                                  <a:pt x="7555991" y="7177658"/>
                                </a:lnTo>
                                <a:lnTo>
                                  <a:pt x="75559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7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F0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351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3514725">
                                <a:moveTo>
                                  <a:pt x="7555991" y="3514724"/>
                                </a:moveTo>
                                <a:lnTo>
                                  <a:pt x="0" y="3514724"/>
                                </a:lnTo>
                                <a:lnTo>
                                  <a:pt x="0" y="0"/>
                                </a:lnTo>
                                <a:lnTo>
                                  <a:pt x="7555991" y="0"/>
                                </a:lnTo>
                                <a:lnTo>
                                  <a:pt x="7555991" y="3514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750" y="1816099"/>
                            <a:ext cx="130047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956" y="2101625"/>
                            <a:ext cx="140366" cy="1399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529" y="2391042"/>
                            <a:ext cx="114300" cy="1521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>
                            <a:hlinkClick r:id="rId10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0574" y="268604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>
                            <a:hlinkClick r:id="rId12"/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060" y="2989517"/>
                            <a:ext cx="136722" cy="13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 descr="Profile picture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8275" y="542924"/>
                            <a:ext cx="1523999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9pt;width:595pt;height:841.95pt;mso-position-horizontal-relative:page;mso-position-vertical-relative:page;z-index:-15799296" id="docshapegroup1" coordorigin="0,0" coordsize="11900,16839">
                <v:rect style="position:absolute;left:0;top:5535;width:11900;height:11304" id="docshape2" filled="true" fillcolor="#e6f0e8" stroked="false">
                  <v:fill type="solid"/>
                </v:rect>
                <v:rect style="position:absolute;left:0;top:0;width:11900;height:5535" id="docshape3" filled="true" fillcolor="#ffffff" stroked="false">
                  <v:fill type="solid"/>
                </v:rect>
                <v:shape style="position:absolute;left:1262;top:2860;width:205;height:160" type="#_x0000_t75" id="docshape4" href="mailto:bryant@bryantlister.com" stroked="false">
                  <v:imagedata r:id="rId5" o:title=""/>
                </v:shape>
                <v:shape style="position:absolute;left:1255;top:3309;width:222;height:221" type="#_x0000_t75" id="docshape5" stroked="false">
                  <v:imagedata r:id="rId7" o:title=""/>
                </v:shape>
                <v:shape style="position:absolute;left:1278;top:3765;width:180;height:240" type="#_x0000_t75" id="docshape6" stroked="false">
                  <v:imagedata r:id="rId8" o:title=""/>
                </v:shape>
                <v:shape style="position:absolute;left:1245;top:4230;width:240;height:240" type="#_x0000_t75" id="docshape7" href="https://linkedin.com/in/bryantlister" stroked="false">
                  <v:imagedata r:id="rId9" o:title=""/>
                </v:shape>
                <v:shape style="position:absolute;left:1256;top:4707;width:216;height:215" type="#_x0000_t75" id="docshape8" href="https://bryantlister.com/" stroked="false">
                  <v:imagedata r:id="rId11" o:title=""/>
                </v:shape>
                <v:shape style="position:absolute;left:8265;top:855;width:2400;height:3210" type="#_x0000_t75" id="docshape9" alt="Profile picture 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6B876F"/>
        </w:rPr>
        <w:t>Bryant</w:t>
      </w:r>
      <w:r>
        <w:rPr>
          <w:color w:val="6B876F"/>
          <w:spacing w:val="-21"/>
        </w:rPr>
        <w:t> </w:t>
      </w:r>
      <w:r>
        <w:rPr>
          <w:color w:val="6B876F"/>
          <w:spacing w:val="-2"/>
        </w:rPr>
        <w:t>Lister</w:t>
      </w:r>
    </w:p>
    <w:p>
      <w:pPr>
        <w:spacing w:before="115"/>
        <w:ind w:left="114" w:right="0" w:firstLine="0"/>
        <w:jc w:val="left"/>
        <w:rPr>
          <w:i/>
          <w:sz w:val="43"/>
        </w:rPr>
      </w:pPr>
      <w:r>
        <w:rPr>
          <w:i/>
          <w:color w:val="212121"/>
          <w:sz w:val="43"/>
        </w:rPr>
        <w:t>Vice</w:t>
      </w:r>
      <w:r>
        <w:rPr>
          <w:i/>
          <w:color w:val="212121"/>
          <w:spacing w:val="-15"/>
          <w:sz w:val="43"/>
        </w:rPr>
        <w:t> </w:t>
      </w:r>
      <w:r>
        <w:rPr>
          <w:i/>
          <w:color w:val="212121"/>
          <w:sz w:val="43"/>
        </w:rPr>
        <w:t>President</w:t>
      </w:r>
      <w:r>
        <w:rPr>
          <w:i/>
          <w:color w:val="212121"/>
          <w:spacing w:val="-14"/>
          <w:sz w:val="43"/>
        </w:rPr>
        <w:t> </w:t>
      </w:r>
      <w:r>
        <w:rPr>
          <w:i/>
          <w:color w:val="212121"/>
          <w:sz w:val="43"/>
        </w:rPr>
        <w:t>of</w:t>
      </w:r>
      <w:r>
        <w:rPr>
          <w:i/>
          <w:color w:val="212121"/>
          <w:spacing w:val="-14"/>
          <w:sz w:val="43"/>
        </w:rPr>
        <w:t> </w:t>
      </w:r>
      <w:r>
        <w:rPr>
          <w:i/>
          <w:color w:val="212121"/>
          <w:sz w:val="43"/>
        </w:rPr>
        <w:t>Data</w:t>
      </w:r>
      <w:r>
        <w:rPr>
          <w:i/>
          <w:color w:val="212121"/>
          <w:spacing w:val="-15"/>
          <w:sz w:val="43"/>
        </w:rPr>
        <w:t> </w:t>
      </w:r>
      <w:r>
        <w:rPr>
          <w:i/>
          <w:color w:val="212121"/>
          <w:spacing w:val="-2"/>
          <w:sz w:val="43"/>
        </w:rPr>
        <w:t>Strategy,</w:t>
      </w:r>
    </w:p>
    <w:p>
      <w:pPr>
        <w:spacing w:before="0"/>
        <w:ind w:left="114" w:right="0" w:firstLine="0"/>
        <w:jc w:val="left"/>
        <w:rPr>
          <w:i/>
          <w:sz w:val="43"/>
        </w:rPr>
      </w:pPr>
      <w:r>
        <w:rPr>
          <w:i/>
          <w:color w:val="212121"/>
          <w:spacing w:val="-4"/>
          <w:sz w:val="43"/>
        </w:rPr>
        <w:t>Trella</w:t>
      </w:r>
      <w:r>
        <w:rPr>
          <w:i/>
          <w:color w:val="212121"/>
          <w:spacing w:val="-15"/>
          <w:sz w:val="43"/>
        </w:rPr>
        <w:t> </w:t>
      </w:r>
      <w:r>
        <w:rPr>
          <w:i/>
          <w:color w:val="212121"/>
          <w:spacing w:val="-2"/>
          <w:sz w:val="43"/>
        </w:rPr>
        <w:t>Health</w:t>
      </w:r>
    </w:p>
    <w:p>
      <w:pPr>
        <w:pStyle w:val="BodyText"/>
        <w:spacing w:line="403" w:lineRule="auto" w:before="298"/>
        <w:ind w:left="541" w:right="6425"/>
      </w:pPr>
      <w:hyperlink r:id="rId6">
        <w:r>
          <w:rPr>
            <w:color w:val="212121"/>
            <w:spacing w:val="-2"/>
            <w:w w:val="105"/>
          </w:rPr>
          <w:t>bryant@bryantlister.com</w:t>
        </w:r>
      </w:hyperlink>
      <w:r>
        <w:rPr>
          <w:color w:val="212121"/>
          <w:spacing w:val="-2"/>
          <w:w w:val="105"/>
        </w:rPr>
        <w:t> 503-708-2126</w:t>
      </w:r>
    </w:p>
    <w:p>
      <w:pPr>
        <w:pStyle w:val="BodyText"/>
        <w:spacing w:line="403" w:lineRule="auto" w:before="3"/>
        <w:ind w:left="541" w:right="4459"/>
      </w:pPr>
      <w:r>
        <w:rPr>
          <w:color w:val="212121"/>
          <w:w w:val="115"/>
        </w:rPr>
        <w:t>Eugene, Oregon </w:t>
      </w:r>
      <w:hyperlink r:id="rId10">
        <w:r>
          <w:rPr>
            <w:color w:val="212121"/>
            <w:spacing w:val="-2"/>
            <w:w w:val="110"/>
          </w:rPr>
          <w:t>linkedin.com/in/bryantlister</w:t>
        </w:r>
      </w:hyperlink>
      <w:r>
        <w:rPr>
          <w:color w:val="212121"/>
          <w:spacing w:val="-2"/>
          <w:w w:val="110"/>
        </w:rPr>
        <w:t> </w:t>
      </w:r>
      <w:hyperlink r:id="rId12">
        <w:r>
          <w:rPr>
            <w:color w:val="212121"/>
            <w:spacing w:val="-2"/>
            <w:w w:val="115"/>
          </w:rPr>
          <w:t>bryantlister.com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spacing w:before="0"/>
        <w:ind w:left="114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212121"/>
          <w:sz w:val="24"/>
        </w:rPr>
        <w:t>STRATEGIC</w:t>
      </w:r>
      <w:r>
        <w:rPr>
          <w:rFonts w:ascii="Cambria"/>
          <w:b/>
          <w:color w:val="212121"/>
          <w:spacing w:val="-3"/>
          <w:sz w:val="24"/>
        </w:rPr>
        <w:t> </w:t>
      </w:r>
      <w:r>
        <w:rPr>
          <w:rFonts w:ascii="Cambria"/>
          <w:b/>
          <w:color w:val="212121"/>
          <w:sz w:val="24"/>
        </w:rPr>
        <w:t>SWOT</w:t>
      </w:r>
      <w:r>
        <w:rPr>
          <w:rFonts w:ascii="Cambria"/>
          <w:b/>
          <w:color w:val="212121"/>
          <w:spacing w:val="-3"/>
          <w:sz w:val="24"/>
        </w:rPr>
        <w:t> </w:t>
      </w:r>
      <w:r>
        <w:rPr>
          <w:rFonts w:ascii="Cambria"/>
          <w:b/>
          <w:color w:val="212121"/>
          <w:spacing w:val="-2"/>
          <w:sz w:val="24"/>
        </w:rPr>
        <w:t>ANALYSIS</w:t>
      </w:r>
    </w:p>
    <w:p>
      <w:pPr>
        <w:spacing w:before="34"/>
        <w:ind w:left="114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212121"/>
          <w:sz w:val="24"/>
        </w:rPr>
        <w:t>BRYANT</w:t>
      </w:r>
      <w:r>
        <w:rPr>
          <w:rFonts w:ascii="Cambria"/>
          <w:b/>
          <w:color w:val="212121"/>
          <w:spacing w:val="-5"/>
          <w:sz w:val="24"/>
        </w:rPr>
        <w:t> </w:t>
      </w:r>
      <w:r>
        <w:rPr>
          <w:rFonts w:ascii="Cambria"/>
          <w:b/>
          <w:color w:val="212121"/>
          <w:sz w:val="24"/>
        </w:rPr>
        <w:t>LISTER</w:t>
      </w:r>
      <w:r>
        <w:rPr>
          <w:rFonts w:ascii="Cambria"/>
          <w:b/>
          <w:color w:val="212121"/>
          <w:spacing w:val="-3"/>
          <w:sz w:val="24"/>
        </w:rPr>
        <w:t> </w:t>
      </w:r>
      <w:r>
        <w:rPr>
          <w:rFonts w:ascii="Cambria"/>
          <w:b/>
          <w:color w:val="212121"/>
          <w:sz w:val="24"/>
        </w:rPr>
        <w:t>|</w:t>
      </w:r>
      <w:r>
        <w:rPr>
          <w:rFonts w:ascii="Cambria"/>
          <w:b/>
          <w:color w:val="212121"/>
          <w:spacing w:val="-5"/>
          <w:sz w:val="24"/>
        </w:rPr>
        <w:t> </w:t>
      </w:r>
      <w:r>
        <w:rPr>
          <w:rFonts w:ascii="Cambria"/>
          <w:b/>
          <w:color w:val="212121"/>
          <w:sz w:val="24"/>
        </w:rPr>
        <w:t>TRELLA</w:t>
      </w:r>
      <w:r>
        <w:rPr>
          <w:rFonts w:ascii="Cambria"/>
          <w:b/>
          <w:color w:val="212121"/>
          <w:spacing w:val="-3"/>
          <w:sz w:val="24"/>
        </w:rPr>
        <w:t> </w:t>
      </w:r>
      <w:r>
        <w:rPr>
          <w:rFonts w:ascii="Cambria"/>
          <w:b/>
          <w:color w:val="212121"/>
          <w:sz w:val="24"/>
        </w:rPr>
        <w:t>HEALTH</w:t>
      </w:r>
      <w:r>
        <w:rPr>
          <w:rFonts w:ascii="Cambria"/>
          <w:b/>
          <w:color w:val="212121"/>
          <w:spacing w:val="-10"/>
          <w:sz w:val="24"/>
        </w:rPr>
        <w:t> </w:t>
      </w:r>
      <w:r>
        <w:rPr>
          <w:rFonts w:ascii="Cambria"/>
          <w:b/>
          <w:color w:val="212121"/>
          <w:sz w:val="24"/>
        </w:rPr>
        <w:t>VP</w:t>
      </w:r>
      <w:r>
        <w:rPr>
          <w:rFonts w:ascii="Cambria"/>
          <w:b/>
          <w:color w:val="212121"/>
          <w:spacing w:val="-3"/>
          <w:sz w:val="24"/>
        </w:rPr>
        <w:t> </w:t>
      </w:r>
      <w:r>
        <w:rPr>
          <w:rFonts w:ascii="Cambria"/>
          <w:b/>
          <w:color w:val="212121"/>
          <w:sz w:val="24"/>
        </w:rPr>
        <w:t>OF</w:t>
      </w:r>
      <w:r>
        <w:rPr>
          <w:rFonts w:ascii="Cambria"/>
          <w:b/>
          <w:color w:val="212121"/>
          <w:spacing w:val="-4"/>
          <w:sz w:val="24"/>
        </w:rPr>
        <w:t> </w:t>
      </w:r>
      <w:r>
        <w:rPr>
          <w:rFonts w:ascii="Cambria"/>
          <w:b/>
          <w:color w:val="212121"/>
          <w:sz w:val="24"/>
        </w:rPr>
        <w:t>DATA</w:t>
      </w:r>
      <w:r>
        <w:rPr>
          <w:rFonts w:ascii="Cambria"/>
          <w:b/>
          <w:color w:val="212121"/>
          <w:spacing w:val="-3"/>
          <w:sz w:val="24"/>
        </w:rPr>
        <w:t> </w:t>
      </w:r>
      <w:r>
        <w:rPr>
          <w:rFonts w:ascii="Cambria"/>
          <w:b/>
          <w:color w:val="212121"/>
          <w:spacing w:val="-2"/>
          <w:sz w:val="24"/>
        </w:rPr>
        <w:t>STRATEGY</w:t>
      </w:r>
    </w:p>
    <w:p>
      <w:pPr>
        <w:pStyle w:val="BodyText"/>
        <w:spacing w:before="37"/>
        <w:rPr>
          <w:rFonts w:ascii="Cambria"/>
          <w:b/>
        </w:rPr>
      </w:pPr>
    </w:p>
    <w:p>
      <w:pPr>
        <w:spacing w:before="0"/>
        <w:ind w:left="114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212121"/>
          <w:spacing w:val="-2"/>
          <w:sz w:val="24"/>
        </w:rPr>
        <w:t>Strengths</w:t>
      </w:r>
    </w:p>
    <w:p>
      <w:pPr>
        <w:pStyle w:val="BodyText"/>
        <w:spacing w:before="41"/>
        <w:rPr>
          <w:rFonts w:ascii="Cambria"/>
          <w:b/>
        </w:r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118" w:hanging="240"/>
        <w:jc w:val="left"/>
        <w:rPr>
          <w:sz w:val="24"/>
        </w:rPr>
      </w:pPr>
      <w:r>
        <w:rPr>
          <w:color w:val="212121"/>
          <w:spacing w:val="-2"/>
          <w:w w:val="115"/>
          <w:sz w:val="24"/>
        </w:rPr>
        <w:t>Healthcare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data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governance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depth.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17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years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at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the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Oregon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Health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Authority,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one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of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nation's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largest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public-sector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healthcare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organizations,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building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governance </w:t>
      </w:r>
      <w:r>
        <w:rPr>
          <w:color w:val="212121"/>
          <w:w w:val="110"/>
          <w:sz w:val="24"/>
        </w:rPr>
        <w:t>frameworks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for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Medicaid,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claims,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eligibility,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clinical,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and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operational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data.</w:t>
      </w:r>
      <w:r>
        <w:rPr>
          <w:color w:val="212121"/>
          <w:spacing w:val="-7"/>
          <w:w w:val="110"/>
          <w:sz w:val="24"/>
        </w:rPr>
        <w:t> </w:t>
      </w:r>
      <w:r>
        <w:rPr>
          <w:color w:val="212121"/>
          <w:w w:val="110"/>
          <w:sz w:val="24"/>
        </w:rPr>
        <w:t>This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is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not </w:t>
      </w:r>
      <w:r>
        <w:rPr>
          <w:color w:val="212121"/>
          <w:w w:val="115"/>
          <w:sz w:val="24"/>
        </w:rPr>
        <w:t>theoretical.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wrote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stewardship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models,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metadata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standards,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lifecycle controls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regulated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health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system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actually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ran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on.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503" w:hanging="240"/>
        <w:jc w:val="left"/>
        <w:rPr>
          <w:sz w:val="24"/>
        </w:rPr>
      </w:pPr>
      <w:r>
        <w:rPr>
          <w:color w:val="212121"/>
          <w:w w:val="110"/>
          <w:sz w:val="24"/>
        </w:rPr>
        <w:t>Crisis-tested security and privacy leadership. Served as Interim Chief Information Risk Officer and incident commander during a major healthcare breach. Coordinated legal, federal, and law-enforcement stakeholders while leading NIST 800-53-aligned remediation. At the</w:t>
      </w:r>
      <w:r>
        <w:rPr>
          <w:color w:val="212121"/>
          <w:spacing w:val="-5"/>
          <w:w w:val="110"/>
          <w:sz w:val="24"/>
        </w:rPr>
        <w:t> </w:t>
      </w:r>
      <w:r>
        <w:rPr>
          <w:color w:val="212121"/>
          <w:w w:val="110"/>
          <w:sz w:val="24"/>
        </w:rPr>
        <w:t>VP level, this level of tested accountability separates candidates who have governed from candidates who have only advised.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312" w:hanging="240"/>
        <w:jc w:val="left"/>
        <w:rPr>
          <w:sz w:val="24"/>
        </w:rPr>
      </w:pPr>
      <w:r>
        <w:rPr>
          <w:color w:val="212121"/>
          <w:w w:val="110"/>
          <w:sz w:val="24"/>
        </w:rPr>
        <w:t>AI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governance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builder,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not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just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adopter.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At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L.A.B.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Golf,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built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responsible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AI </w:t>
      </w:r>
      <w:r>
        <w:rPr>
          <w:color w:val="212121"/>
          <w:w w:val="115"/>
          <w:sz w:val="24"/>
        </w:rPr>
        <w:t>governance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from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scratch: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use-case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intake,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acceptable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use,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privacy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review,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vendor assessment,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human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oversight,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outcome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measurement.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Trella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Health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is </w:t>
      </w:r>
      <w:r>
        <w:rPr>
          <w:color w:val="212121"/>
          <w:w w:val="110"/>
          <w:sz w:val="24"/>
        </w:rPr>
        <w:t>expanding into AI-driven operational and clinical domains. Bryant has already built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control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framework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prevents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AI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from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becoming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liability.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157" w:hanging="240"/>
        <w:jc w:val="left"/>
        <w:rPr>
          <w:sz w:val="24"/>
        </w:rPr>
      </w:pPr>
      <w:r>
        <w:rPr>
          <w:color w:val="212121"/>
          <w:w w:val="115"/>
          <w:sz w:val="24"/>
        </w:rPr>
        <w:t>Cross-functional</w:t>
      </w:r>
      <w:r>
        <w:rPr>
          <w:color w:val="212121"/>
          <w:spacing w:val="-20"/>
          <w:w w:val="115"/>
          <w:sz w:val="24"/>
        </w:rPr>
        <w:t> </w:t>
      </w:r>
      <w:r>
        <w:rPr>
          <w:color w:val="212121"/>
          <w:w w:val="115"/>
          <w:sz w:val="24"/>
        </w:rPr>
        <w:t>executive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alignment.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Proven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track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record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partnering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with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legal, </w:t>
      </w:r>
      <w:r>
        <w:rPr>
          <w:color w:val="212121"/>
          <w:w w:val="110"/>
          <w:sz w:val="24"/>
        </w:rPr>
        <w:t>compliance, security, product, engineering, finance, and operations leaders. He does </w:t>
      </w:r>
      <w:r>
        <w:rPr>
          <w:color w:val="212121"/>
          <w:w w:val="115"/>
          <w:sz w:val="24"/>
        </w:rPr>
        <w:t>not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work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in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silos.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builds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governance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councils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steering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committees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hold multiple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functions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accountable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to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shared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data</w:t>
      </w:r>
      <w:r>
        <w:rPr>
          <w:color w:val="212121"/>
          <w:spacing w:val="-1"/>
          <w:w w:val="115"/>
          <w:sz w:val="24"/>
        </w:rPr>
        <w:t> </w:t>
      </w:r>
      <w:r>
        <w:rPr>
          <w:color w:val="212121"/>
          <w:w w:val="115"/>
          <w:sz w:val="24"/>
        </w:rPr>
        <w:t>outcomes.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0"/>
      </w:pPr>
    </w:p>
    <w:p>
      <w:pPr>
        <w:tabs>
          <w:tab w:pos="3621" w:val="left" w:leader="none"/>
          <w:tab w:pos="9137" w:val="left" w:leader="none"/>
        </w:tabs>
        <w:spacing w:before="0"/>
        <w:ind w:left="114" w:right="0" w:firstLine="0"/>
        <w:jc w:val="left"/>
        <w:rPr>
          <w:sz w:val="21"/>
        </w:rPr>
      </w:pPr>
      <w:r>
        <w:rPr>
          <w:color w:val="787878"/>
          <w:w w:val="110"/>
          <w:sz w:val="21"/>
        </w:rPr>
        <w:t>Bryant</w:t>
      </w:r>
      <w:r>
        <w:rPr>
          <w:color w:val="787878"/>
          <w:spacing w:val="-2"/>
          <w:w w:val="115"/>
          <w:sz w:val="21"/>
        </w:rPr>
        <w:t> Lister</w:t>
      </w:r>
      <w:r>
        <w:rPr>
          <w:color w:val="787878"/>
          <w:sz w:val="21"/>
        </w:rPr>
        <w:tab/>
      </w:r>
      <w:hyperlink r:id="rId6">
        <w:r>
          <w:rPr>
            <w:color w:val="787878"/>
            <w:spacing w:val="-2"/>
            <w:w w:val="110"/>
            <w:sz w:val="21"/>
          </w:rPr>
          <w:t>bryant@bryantlister.com</w:t>
        </w:r>
      </w:hyperlink>
      <w:r>
        <w:rPr>
          <w:color w:val="787878"/>
          <w:sz w:val="21"/>
        </w:rPr>
        <w:tab/>
      </w:r>
      <w:r>
        <w:rPr>
          <w:color w:val="787878"/>
          <w:w w:val="110"/>
          <w:sz w:val="21"/>
        </w:rPr>
        <w:t>1</w:t>
      </w:r>
      <w:r>
        <w:rPr>
          <w:color w:val="787878"/>
          <w:spacing w:val="-9"/>
          <w:w w:val="110"/>
          <w:sz w:val="21"/>
        </w:rPr>
        <w:t> </w:t>
      </w:r>
      <w:r>
        <w:rPr>
          <w:color w:val="787878"/>
          <w:w w:val="110"/>
          <w:sz w:val="21"/>
        </w:rPr>
        <w:t>/</w:t>
      </w:r>
      <w:r>
        <w:rPr>
          <w:color w:val="787878"/>
          <w:spacing w:val="-9"/>
          <w:w w:val="110"/>
          <w:sz w:val="21"/>
        </w:rPr>
        <w:t> </w:t>
      </w:r>
      <w:r>
        <w:rPr>
          <w:color w:val="787878"/>
          <w:spacing w:val="-10"/>
          <w:w w:val="110"/>
          <w:sz w:val="21"/>
        </w:rPr>
        <w:t>3</w:t>
      </w:r>
    </w:p>
    <w:p>
      <w:pPr>
        <w:spacing w:after="0"/>
        <w:jc w:val="left"/>
        <w:rPr>
          <w:sz w:val="21"/>
        </w:rPr>
        <w:sectPr>
          <w:type w:val="continuous"/>
          <w:pgSz w:w="11900" w:h="16840"/>
          <w:pgMar w:top="620" w:bottom="0" w:left="1133" w:right="1133"/>
        </w:sect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72" w:after="0"/>
        <w:ind w:left="401" w:right="335" w:hanging="24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7556500" cy="1069276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55650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2765">
                              <a:moveTo>
                                <a:pt x="7555991" y="10692383"/>
                              </a:move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F0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99pt;width:594.959931pt;height:841.919941pt;mso-position-horizontal-relative:page;mso-position-vertical-relative:page;z-index:-15798784" id="docshape10" filled="true" fillcolor="#e6f0e8" stroked="false">
                <v:fill type="solid"/>
                <w10:wrap type="none"/>
              </v:rect>
            </w:pict>
          </mc:Fallback>
        </mc:AlternateContent>
      </w:r>
      <w:r>
        <w:rPr>
          <w:color w:val="212121"/>
          <w:sz w:val="24"/>
        </w:rPr>
        <w:t>Credential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density.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CISSP,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CCSP,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PMP,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CDMP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Master.</w:t>
      </w:r>
      <w:r>
        <w:rPr>
          <w:color w:val="212121"/>
          <w:spacing w:val="32"/>
          <w:sz w:val="24"/>
        </w:rPr>
        <w:t> </w:t>
      </w:r>
      <w:r>
        <w:rPr>
          <w:color w:val="212121"/>
          <w:sz w:val="24"/>
        </w:rPr>
        <w:t>These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are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not</w:t>
      </w:r>
      <w:r>
        <w:rPr>
          <w:color w:val="212121"/>
          <w:spacing w:val="39"/>
          <w:sz w:val="24"/>
        </w:rPr>
        <w:t> </w:t>
      </w:r>
      <w:r>
        <w:rPr>
          <w:color w:val="212121"/>
          <w:sz w:val="24"/>
        </w:rPr>
        <w:t>decorative.</w:t>
      </w:r>
      <w:r>
        <w:rPr>
          <w:color w:val="212121"/>
          <w:spacing w:val="32"/>
          <w:sz w:val="24"/>
        </w:rPr>
        <w:t> </w:t>
      </w:r>
      <w:r>
        <w:rPr>
          <w:color w:val="212121"/>
          <w:sz w:val="24"/>
        </w:rPr>
        <w:t>They </w:t>
      </w:r>
      <w:r>
        <w:rPr>
          <w:color w:val="212121"/>
          <w:w w:val="110"/>
          <w:sz w:val="24"/>
        </w:rPr>
        <w:t>signal technical credibility with security teams, project discipline with delivery teams, and data management authority with governance panels.</w:t>
      </w:r>
    </w:p>
    <w:p>
      <w:pPr>
        <w:pStyle w:val="BodyText"/>
        <w:spacing w:before="156"/>
      </w:pPr>
    </w:p>
    <w:p>
      <w:pPr>
        <w:spacing w:before="0"/>
        <w:ind w:left="114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212121"/>
          <w:spacing w:val="-4"/>
          <w:sz w:val="24"/>
        </w:rPr>
        <w:t>Weaknesses</w:t>
      </w:r>
      <w:r>
        <w:rPr>
          <w:rFonts w:ascii="Cambria"/>
          <w:b/>
          <w:color w:val="212121"/>
          <w:spacing w:val="-8"/>
          <w:sz w:val="24"/>
        </w:rPr>
        <w:t> </w:t>
      </w:r>
      <w:r>
        <w:rPr>
          <w:rFonts w:ascii="Cambria"/>
          <w:b/>
          <w:color w:val="212121"/>
          <w:spacing w:val="-4"/>
          <w:sz w:val="24"/>
        </w:rPr>
        <w:t>/</w:t>
      </w:r>
      <w:r>
        <w:rPr>
          <w:rFonts w:ascii="Cambria"/>
          <w:b/>
          <w:color w:val="212121"/>
          <w:spacing w:val="-7"/>
          <w:sz w:val="24"/>
        </w:rPr>
        <w:t> </w:t>
      </w:r>
      <w:r>
        <w:rPr>
          <w:rFonts w:ascii="Cambria"/>
          <w:b/>
          <w:color w:val="212121"/>
          <w:spacing w:val="-4"/>
          <w:sz w:val="24"/>
        </w:rPr>
        <w:t>Gaps</w:t>
      </w:r>
    </w:p>
    <w:p>
      <w:pPr>
        <w:pStyle w:val="BodyText"/>
        <w:spacing w:before="176"/>
        <w:rPr>
          <w:rFonts w:ascii="Cambria"/>
          <w:b/>
        </w:r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1" w:after="0"/>
        <w:ind w:left="401" w:right="195" w:hanging="240"/>
        <w:jc w:val="left"/>
        <w:rPr>
          <w:sz w:val="24"/>
        </w:rPr>
      </w:pPr>
      <w:r>
        <w:rPr>
          <w:color w:val="212121"/>
          <w:w w:val="110"/>
          <w:sz w:val="24"/>
        </w:rPr>
        <w:t>Recent private-sector role is outside healthcare. L.A.B. Golf is a golf equipment </w:t>
      </w:r>
      <w:r>
        <w:rPr>
          <w:color w:val="212121"/>
          <w:w w:val="115"/>
          <w:sz w:val="24"/>
        </w:rPr>
        <w:t>manufacturer.</w:t>
      </w:r>
      <w:r>
        <w:rPr>
          <w:color w:val="212121"/>
          <w:spacing w:val="-19"/>
          <w:w w:val="115"/>
          <w:sz w:val="24"/>
        </w:rPr>
        <w:t> </w:t>
      </w:r>
      <w:r>
        <w:rPr>
          <w:color w:val="212121"/>
          <w:w w:val="115"/>
          <w:sz w:val="24"/>
        </w:rPr>
        <w:t>While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governance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AI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frameworks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built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there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are transferable,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screener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may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question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whether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his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most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recent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14-month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role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maps to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healthcare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analytics.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resume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biography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must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explicitly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bridge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this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by emphasizing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was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recruited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to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build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enterprise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data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governance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from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scratch </w:t>
      </w:r>
      <w:r>
        <w:rPr>
          <w:color w:val="212121"/>
          <w:w w:val="110"/>
          <w:sz w:val="24"/>
        </w:rPr>
        <w:t>in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a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PE-backed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growth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environment,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a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scenario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analogous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to</w:t>
      </w:r>
      <w:r>
        <w:rPr>
          <w:color w:val="212121"/>
          <w:spacing w:val="-6"/>
          <w:w w:val="110"/>
          <w:sz w:val="24"/>
        </w:rPr>
        <w:t> </w:t>
      </w:r>
      <w:r>
        <w:rPr>
          <w:color w:val="212121"/>
          <w:w w:val="110"/>
          <w:sz w:val="24"/>
        </w:rPr>
        <w:t>Trella's</w:t>
      </w:r>
      <w:r>
        <w:rPr>
          <w:color w:val="212121"/>
          <w:spacing w:val="-2"/>
          <w:w w:val="110"/>
          <w:sz w:val="24"/>
        </w:rPr>
        <w:t> </w:t>
      </w:r>
      <w:r>
        <w:rPr>
          <w:color w:val="212121"/>
          <w:w w:val="110"/>
          <w:sz w:val="24"/>
        </w:rPr>
        <w:t>post-acquisition </w:t>
      </w:r>
      <w:r>
        <w:rPr>
          <w:color w:val="212121"/>
          <w:spacing w:val="-2"/>
          <w:w w:val="115"/>
          <w:sz w:val="24"/>
        </w:rPr>
        <w:t>scaling.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367" w:hanging="240"/>
        <w:jc w:val="left"/>
        <w:rPr>
          <w:sz w:val="24"/>
        </w:rPr>
      </w:pPr>
      <w:r>
        <w:rPr>
          <w:color w:val="212121"/>
          <w:w w:val="115"/>
          <w:sz w:val="24"/>
        </w:rPr>
        <w:t>Limited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direct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post-acute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care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domain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exposure.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His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Oregon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Health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Authority experience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spans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Medicaid,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behavioral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health,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long-term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services,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w w:val="115"/>
          <w:sz w:val="24"/>
        </w:rPr>
        <w:t>seniors. </w:t>
      </w:r>
      <w:r>
        <w:rPr>
          <w:color w:val="212121"/>
          <w:w w:val="110"/>
          <w:sz w:val="24"/>
        </w:rPr>
        <w:t>These are adjacent to post-acute care, but he has not explicitly led a post-acute care </w:t>
      </w:r>
      <w:r>
        <w:rPr>
          <w:color w:val="212121"/>
          <w:spacing w:val="-2"/>
          <w:w w:val="115"/>
          <w:sz w:val="24"/>
        </w:rPr>
        <w:t>analytics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platform.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The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30-60-90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plan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must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show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rapid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domain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absorption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and </w:t>
      </w:r>
      <w:r>
        <w:rPr>
          <w:color w:val="212121"/>
          <w:w w:val="115"/>
          <w:sz w:val="24"/>
        </w:rPr>
        <w:t>stakeholder mapping.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183" w:hanging="240"/>
        <w:jc w:val="left"/>
        <w:rPr>
          <w:sz w:val="24"/>
        </w:rPr>
      </w:pPr>
      <w:r>
        <w:rPr>
          <w:color w:val="212121"/>
          <w:w w:val="110"/>
          <w:sz w:val="24"/>
        </w:rPr>
        <w:t>No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explicit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commercial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SaaS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analytics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platform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ownership.</w:t>
      </w:r>
      <w:r>
        <w:rPr>
          <w:color w:val="212121"/>
          <w:spacing w:val="-6"/>
          <w:w w:val="110"/>
          <w:sz w:val="24"/>
        </w:rPr>
        <w:t> </w:t>
      </w:r>
      <w:r>
        <w:rPr>
          <w:color w:val="212121"/>
          <w:w w:val="110"/>
          <w:sz w:val="24"/>
        </w:rPr>
        <w:t>Trella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Health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operates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an </w:t>
      </w:r>
      <w:r>
        <w:rPr>
          <w:color w:val="212121"/>
          <w:w w:val="115"/>
          <w:sz w:val="24"/>
        </w:rPr>
        <w:t>analytics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insights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platform.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Bryant's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experience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is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weighted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toward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internal </w:t>
      </w:r>
      <w:r>
        <w:rPr>
          <w:color w:val="212121"/>
          <w:spacing w:val="-2"/>
          <w:w w:val="115"/>
          <w:sz w:val="24"/>
        </w:rPr>
        <w:t>enterprise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systems,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ERP,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and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CRM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modernization.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He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has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not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led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commercial product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data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strategy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with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external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customer-facing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analytics.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The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positioning</w:t>
      </w:r>
      <w:r>
        <w:rPr>
          <w:color w:val="212121"/>
          <w:spacing w:val="-8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must </w:t>
      </w:r>
      <w:r>
        <w:rPr>
          <w:color w:val="212121"/>
          <w:w w:val="115"/>
          <w:sz w:val="24"/>
        </w:rPr>
        <w:t>frame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his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platform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architecture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experience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as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foundational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to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scaling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SaaS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w w:val="115"/>
          <w:sz w:val="24"/>
        </w:rPr>
        <w:t>data </w:t>
      </w:r>
      <w:r>
        <w:rPr>
          <w:color w:val="212121"/>
          <w:spacing w:val="-2"/>
          <w:w w:val="115"/>
          <w:sz w:val="24"/>
        </w:rPr>
        <w:t>product.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238" w:hanging="240"/>
        <w:jc w:val="left"/>
        <w:rPr>
          <w:sz w:val="24"/>
        </w:rPr>
      </w:pPr>
      <w:r>
        <w:rPr>
          <w:color w:val="212121"/>
          <w:w w:val="110"/>
          <w:sz w:val="24"/>
        </w:rPr>
        <w:t>Manufacturing data velocity vs. healthcare data velocity. L.A.B. Golf operated on e-commerce and supply-chain data cycles. Healthcare claims and clinical data operate </w:t>
      </w:r>
      <w:r>
        <w:rPr>
          <w:color w:val="212121"/>
          <w:w w:val="115"/>
          <w:sz w:val="24"/>
        </w:rPr>
        <w:t>on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different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regulatory,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temporal,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semantic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rhythms.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will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need</w:t>
      </w:r>
      <w:r>
        <w:rPr>
          <w:color w:val="212121"/>
          <w:spacing w:val="-9"/>
          <w:w w:val="115"/>
          <w:sz w:val="24"/>
        </w:rPr>
        <w:t> </w:t>
      </w:r>
      <w:r>
        <w:rPr>
          <w:color w:val="212121"/>
          <w:w w:val="115"/>
          <w:sz w:val="24"/>
        </w:rPr>
        <w:t>to demonstrate rapid reorientation in the first 90 days.</w:t>
      </w:r>
    </w:p>
    <w:p>
      <w:pPr>
        <w:pStyle w:val="BodyText"/>
        <w:spacing w:before="6"/>
      </w:pPr>
    </w:p>
    <w:p>
      <w:pPr>
        <w:spacing w:before="0"/>
        <w:ind w:left="114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212121"/>
          <w:spacing w:val="-2"/>
          <w:sz w:val="24"/>
        </w:rPr>
        <w:t>Opportunities</w:t>
      </w:r>
    </w:p>
    <w:p>
      <w:pPr>
        <w:pStyle w:val="BodyText"/>
        <w:spacing w:before="191"/>
        <w:rPr>
          <w:rFonts w:ascii="Cambria"/>
          <w:b/>
        </w:r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1" w:after="0"/>
        <w:ind w:left="401" w:right="166" w:hanging="240"/>
        <w:jc w:val="left"/>
        <w:rPr>
          <w:sz w:val="24"/>
        </w:rPr>
      </w:pPr>
      <w:r>
        <w:rPr>
          <w:color w:val="212121"/>
          <w:spacing w:val="-2"/>
          <w:w w:val="110"/>
          <w:sz w:val="24"/>
        </w:rPr>
        <w:t>Trella's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AI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expansion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is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exactly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his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L.A.B.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Golf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playbook.</w:t>
      </w:r>
      <w:r>
        <w:rPr>
          <w:color w:val="212121"/>
          <w:spacing w:val="-14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Trella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is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moving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from</w:t>
      </w:r>
      <w:r>
        <w:rPr>
          <w:color w:val="212121"/>
          <w:spacing w:val="-10"/>
          <w:w w:val="110"/>
          <w:sz w:val="24"/>
        </w:rPr>
        <w:t> </w:t>
      </w:r>
      <w:r>
        <w:rPr>
          <w:color w:val="212121"/>
          <w:spacing w:val="-2"/>
          <w:w w:val="110"/>
          <w:sz w:val="24"/>
        </w:rPr>
        <w:t>claims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clinical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data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into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AI-driven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operational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domains.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Bryant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has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already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built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the governance,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intake,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oversight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framework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for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exactly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this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transition.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can present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himself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as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executive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who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prevents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AI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from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outrunning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compliance.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434" w:hanging="240"/>
        <w:jc w:val="left"/>
        <w:rPr>
          <w:sz w:val="24"/>
        </w:rPr>
      </w:pPr>
      <w:r>
        <w:rPr>
          <w:color w:val="212121"/>
          <w:w w:val="110"/>
          <w:sz w:val="24"/>
        </w:rPr>
        <w:t>Post-acute care reimbursement complexity maps to his Medicaid/claims expertise. </w:t>
      </w:r>
      <w:r>
        <w:rPr>
          <w:color w:val="212121"/>
          <w:w w:val="115"/>
          <w:sz w:val="24"/>
        </w:rPr>
        <w:t>Eligibility,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claims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processing,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coordinated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care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organization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partnerships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at Oregon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Health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Authority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required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the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same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data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integration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discipline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4"/>
          <w:w w:val="115"/>
          <w:sz w:val="24"/>
        </w:rPr>
        <w:t> </w:t>
      </w:r>
      <w:r>
        <w:rPr>
          <w:color w:val="212121"/>
          <w:w w:val="115"/>
          <w:sz w:val="24"/>
        </w:rPr>
        <w:t>post-acute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care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networks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need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to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manage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bundled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payments,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readmissions,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6"/>
          <w:w w:val="115"/>
          <w:sz w:val="24"/>
        </w:rPr>
        <w:t> </w:t>
      </w:r>
      <w:r>
        <w:rPr>
          <w:color w:val="212121"/>
          <w:w w:val="115"/>
          <w:sz w:val="24"/>
        </w:rPr>
        <w:t>care </w:t>
      </w:r>
      <w:r>
        <w:rPr>
          <w:color w:val="212121"/>
          <w:spacing w:val="-2"/>
          <w:w w:val="115"/>
          <w:sz w:val="24"/>
        </w:rPr>
        <w:t>transitions.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tabs>
          <w:tab w:pos="3621" w:val="left" w:leader="none"/>
          <w:tab w:pos="9137" w:val="left" w:leader="none"/>
        </w:tabs>
        <w:spacing w:before="0"/>
        <w:ind w:left="114" w:right="0" w:firstLine="0"/>
        <w:jc w:val="left"/>
        <w:rPr>
          <w:sz w:val="21"/>
        </w:rPr>
      </w:pPr>
      <w:r>
        <w:rPr>
          <w:color w:val="787878"/>
          <w:w w:val="110"/>
          <w:sz w:val="21"/>
        </w:rPr>
        <w:t>Bryant</w:t>
      </w:r>
      <w:r>
        <w:rPr>
          <w:color w:val="787878"/>
          <w:spacing w:val="-2"/>
          <w:w w:val="115"/>
          <w:sz w:val="21"/>
        </w:rPr>
        <w:t> Lister</w:t>
      </w:r>
      <w:r>
        <w:rPr>
          <w:color w:val="787878"/>
          <w:sz w:val="21"/>
        </w:rPr>
        <w:tab/>
      </w:r>
      <w:hyperlink r:id="rId6">
        <w:r>
          <w:rPr>
            <w:color w:val="787878"/>
            <w:spacing w:val="-2"/>
            <w:w w:val="110"/>
            <w:sz w:val="21"/>
          </w:rPr>
          <w:t>bryant@bryantlister.com</w:t>
        </w:r>
      </w:hyperlink>
      <w:r>
        <w:rPr>
          <w:color w:val="787878"/>
          <w:sz w:val="21"/>
        </w:rPr>
        <w:tab/>
      </w:r>
      <w:r>
        <w:rPr>
          <w:color w:val="787878"/>
          <w:w w:val="110"/>
          <w:sz w:val="21"/>
        </w:rPr>
        <w:t>2</w:t>
      </w:r>
      <w:r>
        <w:rPr>
          <w:color w:val="787878"/>
          <w:spacing w:val="-9"/>
          <w:w w:val="110"/>
          <w:sz w:val="21"/>
        </w:rPr>
        <w:t> </w:t>
      </w:r>
      <w:r>
        <w:rPr>
          <w:color w:val="787878"/>
          <w:w w:val="110"/>
          <w:sz w:val="21"/>
        </w:rPr>
        <w:t>/</w:t>
      </w:r>
      <w:r>
        <w:rPr>
          <w:color w:val="787878"/>
          <w:spacing w:val="-9"/>
          <w:w w:val="110"/>
          <w:sz w:val="21"/>
        </w:rPr>
        <w:t> </w:t>
      </w:r>
      <w:r>
        <w:rPr>
          <w:color w:val="787878"/>
          <w:spacing w:val="-10"/>
          <w:w w:val="110"/>
          <w:sz w:val="21"/>
        </w:rPr>
        <w:t>3</w:t>
      </w:r>
    </w:p>
    <w:p>
      <w:pPr>
        <w:spacing w:after="0"/>
        <w:jc w:val="left"/>
        <w:rPr>
          <w:sz w:val="21"/>
        </w:rPr>
        <w:sectPr>
          <w:pgSz w:w="11900" w:h="16840"/>
          <w:pgMar w:top="660" w:bottom="0" w:left="1133" w:right="1133"/>
        </w:sect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72" w:after="0"/>
        <w:ind w:left="401" w:right="626" w:hanging="24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82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556500" cy="10692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92765">
                              <a:moveTo>
                                <a:pt x="7555991" y="10692383"/>
                              </a:move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  <a:lnTo>
                                <a:pt x="7555991" y="0"/>
                              </a:lnTo>
                              <a:lnTo>
                                <a:pt x="7555991" y="10692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F0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-.000042pt;width:594.959931pt;height:841.919941pt;mso-position-horizontal-relative:page;mso-position-vertical-relative:page;z-index:-15798272" id="docshape11" filled="true" fillcolor="#e6f0e8" stroked="false">
                <v:fill type="solid"/>
                <w10:wrap type="none"/>
              </v:rect>
            </w:pict>
          </mc:Fallback>
        </mc:AlternateContent>
      </w:r>
      <w:r>
        <w:rPr>
          <w:color w:val="212121"/>
          <w:spacing w:val="-2"/>
          <w:w w:val="115"/>
          <w:sz w:val="24"/>
        </w:rPr>
        <w:t>Breach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remediation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as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trust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builder.</w:t>
      </w:r>
      <w:r>
        <w:rPr>
          <w:color w:val="212121"/>
          <w:spacing w:val="-11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Trella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Health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handles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sensitive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patient</w:t>
      </w:r>
      <w:r>
        <w:rPr>
          <w:color w:val="212121"/>
          <w:spacing w:val="-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data across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the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care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continuum.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Bryant's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experience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as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incident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commander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during</w:t>
      </w:r>
      <w:r>
        <w:rPr>
          <w:color w:val="212121"/>
          <w:spacing w:val="-10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 </w:t>
      </w:r>
      <w:r>
        <w:rPr>
          <w:color w:val="212121"/>
          <w:w w:val="115"/>
          <w:sz w:val="24"/>
        </w:rPr>
        <w:t>major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breach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gives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him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credibility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to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build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security-first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data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culture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that differentiates</w:t>
      </w:r>
      <w:r>
        <w:rPr>
          <w:color w:val="212121"/>
          <w:spacing w:val="-18"/>
          <w:w w:val="115"/>
          <w:sz w:val="24"/>
        </w:rPr>
        <w:t> </w:t>
      </w:r>
      <w:r>
        <w:rPr>
          <w:color w:val="212121"/>
          <w:w w:val="115"/>
          <w:sz w:val="24"/>
        </w:rPr>
        <w:t>Trella</w:t>
      </w:r>
      <w:r>
        <w:rPr>
          <w:color w:val="212121"/>
          <w:spacing w:val="-16"/>
          <w:w w:val="115"/>
          <w:sz w:val="24"/>
        </w:rPr>
        <w:t> </w:t>
      </w:r>
      <w:r>
        <w:rPr>
          <w:color w:val="212121"/>
          <w:w w:val="115"/>
          <w:sz w:val="24"/>
        </w:rPr>
        <w:t>in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market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where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data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trust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is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competitive</w:t>
      </w:r>
      <w:r>
        <w:rPr>
          <w:color w:val="212121"/>
          <w:spacing w:val="-15"/>
          <w:w w:val="115"/>
          <w:sz w:val="24"/>
        </w:rPr>
        <w:t> </w:t>
      </w:r>
      <w:r>
        <w:rPr>
          <w:color w:val="212121"/>
          <w:w w:val="115"/>
          <w:sz w:val="24"/>
        </w:rPr>
        <w:t>advantage.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546" w:hanging="240"/>
        <w:jc w:val="left"/>
        <w:rPr>
          <w:sz w:val="24"/>
        </w:rPr>
      </w:pPr>
      <w:r>
        <w:rPr>
          <w:color w:val="212121"/>
          <w:w w:val="110"/>
          <w:sz w:val="24"/>
        </w:rPr>
        <w:t>Governance as growth enabler, not brake. Private-equity-backed companies value </w:t>
      </w:r>
      <w:r>
        <w:rPr>
          <w:color w:val="212121"/>
          <w:spacing w:val="-2"/>
          <w:w w:val="115"/>
          <w:sz w:val="24"/>
        </w:rPr>
        <w:t>governance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that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accelerates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valuation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and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reduces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risk.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Bryant's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L.A.B.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Golf </w:t>
      </w:r>
      <w:r>
        <w:rPr>
          <w:color w:val="212121"/>
          <w:w w:val="115"/>
          <w:sz w:val="24"/>
        </w:rPr>
        <w:t>experience,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even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in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different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industry,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proves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he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can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build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controls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satisfy investors while enabling scale.</w:t>
      </w:r>
    </w:p>
    <w:p>
      <w:pPr>
        <w:pStyle w:val="BodyText"/>
        <w:spacing w:before="156"/>
      </w:pPr>
    </w:p>
    <w:p>
      <w:pPr>
        <w:spacing w:before="0"/>
        <w:ind w:left="114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212121"/>
          <w:spacing w:val="-2"/>
          <w:sz w:val="24"/>
        </w:rPr>
        <w:t>Threats</w:t>
      </w:r>
    </w:p>
    <w:p>
      <w:pPr>
        <w:pStyle w:val="BodyText"/>
        <w:spacing w:before="191"/>
        <w:rPr>
          <w:rFonts w:ascii="Cambria"/>
          <w:b/>
        </w:r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1" w:after="0"/>
        <w:ind w:left="401" w:right="215" w:hanging="240"/>
        <w:jc w:val="left"/>
        <w:rPr>
          <w:sz w:val="24"/>
        </w:rPr>
      </w:pPr>
      <w:r>
        <w:rPr>
          <w:color w:val="212121"/>
          <w:w w:val="110"/>
          <w:sz w:val="24"/>
        </w:rPr>
        <w:t>Candidates from dedicated post-acute care analytics firms. Competitors may include VPs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from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companies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like</w:t>
      </w:r>
      <w:r>
        <w:rPr>
          <w:color w:val="212121"/>
          <w:spacing w:val="-11"/>
          <w:w w:val="110"/>
          <w:sz w:val="24"/>
        </w:rPr>
        <w:t> </w:t>
      </w:r>
      <w:r>
        <w:rPr>
          <w:color w:val="212121"/>
          <w:w w:val="110"/>
          <w:sz w:val="24"/>
        </w:rPr>
        <w:t>WellSky,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CarePort,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or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Axxess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who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have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spent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the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last</w:t>
      </w:r>
      <w:r>
        <w:rPr>
          <w:color w:val="212121"/>
          <w:spacing w:val="-3"/>
          <w:w w:val="110"/>
          <w:sz w:val="24"/>
        </w:rPr>
        <w:t> </w:t>
      </w:r>
      <w:r>
        <w:rPr>
          <w:color w:val="212121"/>
          <w:w w:val="110"/>
          <w:sz w:val="24"/>
        </w:rPr>
        <w:t>five years exclusively in post-acute care data. They have domain fluency Bryant would need to build in his first 90 days.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552" w:hanging="240"/>
        <w:jc w:val="left"/>
        <w:rPr>
          <w:sz w:val="24"/>
        </w:rPr>
      </w:pPr>
      <w:r>
        <w:rPr>
          <w:color w:val="212121"/>
          <w:w w:val="110"/>
          <w:sz w:val="24"/>
        </w:rPr>
        <w:t>Candidates with recent large health system CDO experience. A sitting Chief Data Officer from a major health system may have more recent healthcare-specific platform scale and may be perceived as lower-risk by a conservative hiring panel.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437" w:hanging="240"/>
        <w:jc w:val="left"/>
        <w:rPr>
          <w:sz w:val="24"/>
        </w:rPr>
      </w:pPr>
      <w:r>
        <w:rPr>
          <w:color w:val="212121"/>
          <w:w w:val="115"/>
          <w:sz w:val="24"/>
        </w:rPr>
        <w:t>The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manufacturing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gap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may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trigger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bias.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Screeners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operating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in</w:t>
      </w:r>
      <w:r>
        <w:rPr>
          <w:color w:val="212121"/>
          <w:spacing w:val="-12"/>
          <w:w w:val="115"/>
          <w:sz w:val="24"/>
        </w:rPr>
        <w:t> </w:t>
      </w:r>
      <w:r>
        <w:rPr>
          <w:color w:val="212121"/>
          <w:w w:val="115"/>
          <w:sz w:val="24"/>
        </w:rPr>
        <w:t>under-a-minute </w:t>
      </w:r>
      <w:r>
        <w:rPr>
          <w:color w:val="212121"/>
          <w:w w:val="110"/>
          <w:sz w:val="24"/>
        </w:rPr>
        <w:t>scans may see "L.A.B. Golf" and downgrade the candidate before reading the governance outcomes. The resume must lead with healthcare and governance, not </w:t>
      </w:r>
      <w:r>
        <w:rPr>
          <w:color w:val="212121"/>
          <w:w w:val="115"/>
          <w:sz w:val="24"/>
        </w:rPr>
        <w:t>chronology, to prevent this.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73" w:lineRule="auto" w:before="0" w:after="0"/>
        <w:ind w:left="401" w:right="249" w:hanging="240"/>
        <w:jc w:val="left"/>
        <w:rPr>
          <w:sz w:val="24"/>
        </w:rPr>
      </w:pPr>
      <w:r>
        <w:rPr>
          <w:color w:val="212121"/>
          <w:spacing w:val="-2"/>
          <w:w w:val="115"/>
          <w:sz w:val="24"/>
        </w:rPr>
        <w:t>Trella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may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prioritize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product-led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data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strategy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over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governance-led.</w:t>
      </w:r>
      <w:r>
        <w:rPr>
          <w:color w:val="212121"/>
          <w:spacing w:val="-13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If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spacing w:val="-2"/>
          <w:w w:val="115"/>
          <w:sz w:val="24"/>
        </w:rPr>
        <w:t>Trella's </w:t>
      </w:r>
      <w:r>
        <w:rPr>
          <w:color w:val="212121"/>
          <w:w w:val="110"/>
          <w:sz w:val="24"/>
        </w:rPr>
        <w:t>executive team views this role as primarily a product and commercial growth driver, Bryant's governance-heavy profile may read as overly conservative.</w:t>
      </w:r>
      <w:r>
        <w:rPr>
          <w:color w:val="212121"/>
          <w:spacing w:val="-1"/>
          <w:w w:val="110"/>
          <w:sz w:val="24"/>
        </w:rPr>
        <w:t> </w:t>
      </w:r>
      <w:r>
        <w:rPr>
          <w:color w:val="212121"/>
          <w:w w:val="110"/>
          <w:sz w:val="24"/>
        </w:rPr>
        <w:t>The positioning </w:t>
      </w:r>
      <w:r>
        <w:rPr>
          <w:color w:val="212121"/>
          <w:w w:val="115"/>
          <w:sz w:val="24"/>
        </w:rPr>
        <w:t>must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emphasize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that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governance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is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what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allows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AI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and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analytics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products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to</w:t>
      </w:r>
      <w:r>
        <w:rPr>
          <w:color w:val="212121"/>
          <w:spacing w:val="-17"/>
          <w:w w:val="115"/>
          <w:sz w:val="24"/>
        </w:rPr>
        <w:t> </w:t>
      </w:r>
      <w:r>
        <w:rPr>
          <w:color w:val="212121"/>
          <w:w w:val="115"/>
          <w:sz w:val="24"/>
        </w:rPr>
        <w:t>ship without regulatory delay.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tabs>
          <w:tab w:pos="3621" w:val="left" w:leader="none"/>
          <w:tab w:pos="9137" w:val="left" w:leader="none"/>
        </w:tabs>
        <w:spacing w:before="0"/>
        <w:ind w:left="114" w:right="0" w:firstLine="0"/>
        <w:jc w:val="left"/>
        <w:rPr>
          <w:sz w:val="21"/>
        </w:rPr>
      </w:pPr>
      <w:r>
        <w:rPr>
          <w:color w:val="787878"/>
          <w:w w:val="110"/>
          <w:sz w:val="21"/>
        </w:rPr>
        <w:t>Bryant</w:t>
      </w:r>
      <w:r>
        <w:rPr>
          <w:color w:val="787878"/>
          <w:spacing w:val="-2"/>
          <w:w w:val="115"/>
          <w:sz w:val="21"/>
        </w:rPr>
        <w:t> Lister</w:t>
      </w:r>
      <w:r>
        <w:rPr>
          <w:color w:val="787878"/>
          <w:sz w:val="21"/>
        </w:rPr>
        <w:tab/>
      </w:r>
      <w:hyperlink r:id="rId6">
        <w:r>
          <w:rPr>
            <w:color w:val="787878"/>
            <w:spacing w:val="-2"/>
            <w:w w:val="110"/>
            <w:sz w:val="21"/>
          </w:rPr>
          <w:t>bryant@bryantlister.com</w:t>
        </w:r>
      </w:hyperlink>
      <w:r>
        <w:rPr>
          <w:color w:val="787878"/>
          <w:sz w:val="21"/>
        </w:rPr>
        <w:tab/>
      </w:r>
      <w:r>
        <w:rPr>
          <w:color w:val="787878"/>
          <w:w w:val="110"/>
          <w:sz w:val="21"/>
        </w:rPr>
        <w:t>3</w:t>
      </w:r>
      <w:r>
        <w:rPr>
          <w:color w:val="787878"/>
          <w:spacing w:val="-9"/>
          <w:w w:val="110"/>
          <w:sz w:val="21"/>
        </w:rPr>
        <w:t> </w:t>
      </w:r>
      <w:r>
        <w:rPr>
          <w:color w:val="787878"/>
          <w:w w:val="110"/>
          <w:sz w:val="21"/>
        </w:rPr>
        <w:t>/</w:t>
      </w:r>
      <w:r>
        <w:rPr>
          <w:color w:val="787878"/>
          <w:spacing w:val="-9"/>
          <w:w w:val="110"/>
          <w:sz w:val="21"/>
        </w:rPr>
        <w:t> </w:t>
      </w:r>
      <w:r>
        <w:rPr>
          <w:color w:val="787878"/>
          <w:spacing w:val="-10"/>
          <w:w w:val="110"/>
          <w:sz w:val="21"/>
        </w:rPr>
        <w:t>3</w:t>
      </w:r>
    </w:p>
    <w:sectPr>
      <w:pgSz w:w="11900" w:h="16840"/>
      <w:pgMar w:top="660" w:bottom="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1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121"/>
        <w:spacing w:val="0"/>
        <w:w w:val="8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3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6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9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93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16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39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3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6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14"/>
      <w:outlineLvl w:val="1"/>
    </w:pPr>
    <w:rPr>
      <w:rFonts w:ascii="Cambria" w:hAnsi="Cambria" w:eastAsia="Cambria" w:cs="Cambria"/>
      <w:b/>
      <w:bCs/>
      <w:sz w:val="58"/>
      <w:szCs w:val="5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01" w:right="118" w:hanging="24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bryant@bryantlister.com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linkedin.com/in/bryantlister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bryantlister.com/" TargetMode="External"/><Relationship Id="rId13" Type="http://schemas.openxmlformats.org/officeDocument/2006/relationships/image" Target="media/image6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FlowCV - https://flowcv.com</dc:creator>
  <cp:keywords>FlowCV – Online Resume Builder – https://flowcv.com</cp:keywords>
  <dc:title>app.flowcv.com/letter-pdf-page-17bc75870dddc98c1a083d11635fd81975be0118hasphoto</dc:title>
  <dcterms:created xsi:type="dcterms:W3CDTF">2026-08-07T23:23:35Z</dcterms:created>
  <dcterms:modified xsi:type="dcterms:W3CDTF">2026-08-07T23:23:35Z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